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746940ca5f34a0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169F9" w:rsidP="005D0621">
            <w:pPr>
              <w:rPr>
                <w:b/>
              </w:rPr>
            </w:pPr>
            <w:r>
              <w:rPr>
                <w:b/>
              </w:rPr>
              <w:t>6 April 2017</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2F49AE">
            <w:pPr>
              <w:rPr>
                <w:rStyle w:val="Firstpagetablebold"/>
              </w:rPr>
            </w:pPr>
            <w:r w:rsidRPr="001356F1">
              <w:rPr>
                <w:rStyle w:val="Firstpagetablebold"/>
              </w:rPr>
              <w:t>Executive Director</w:t>
            </w:r>
            <w:r w:rsidR="00B169F9">
              <w:rPr>
                <w:rStyle w:val="Firstpagetablebold"/>
              </w:rPr>
              <w:t xml:space="preserve"> </w:t>
            </w:r>
            <w:r w:rsidR="002F49AE">
              <w:rPr>
                <w:rStyle w:val="Firstpagetablebold"/>
              </w:rPr>
              <w:t>for Community 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96CE1" w:rsidRDefault="00B169F9" w:rsidP="00F96CE1">
            <w:pPr>
              <w:rPr>
                <w:rStyle w:val="Firstpagetablebold"/>
              </w:rPr>
            </w:pPr>
            <w:r w:rsidRPr="00B169F9">
              <w:rPr>
                <w:rStyle w:val="Firstpagetablebold"/>
              </w:rPr>
              <w:t>Oxford Flood Alleviation</w:t>
            </w:r>
            <w:r>
              <w:rPr>
                <w:rStyle w:val="Firstpagetablebold"/>
              </w:rPr>
              <w:t xml:space="preserve"> </w:t>
            </w:r>
            <w:r w:rsidRPr="00B169F9">
              <w:rPr>
                <w:rStyle w:val="Firstpagetablebold"/>
              </w:rPr>
              <w:t>Scheme</w:t>
            </w:r>
          </w:p>
          <w:p w:rsidR="006B24FB" w:rsidRPr="001356F1" w:rsidRDefault="006B24FB" w:rsidP="00F96CE1">
            <w:pPr>
              <w:rPr>
                <w:rStyle w:val="Firstpagetablebold"/>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169F9" w:rsidRPr="001356F1" w:rsidRDefault="00B169F9" w:rsidP="00F67869">
            <w:r>
              <w:t xml:space="preserve">To request approval to </w:t>
            </w:r>
            <w:r w:rsidR="00F67869" w:rsidRPr="00F67869">
              <w:t>increase Oxford City Council</w:t>
            </w:r>
            <w:r w:rsidR="002F49AE">
              <w:t xml:space="preserve">’s </w:t>
            </w:r>
            <w:r w:rsidR="00F67869" w:rsidRPr="00F67869">
              <w:t xml:space="preserve">project contribution towards Oxford Flood Alleviation Scheme by </w:t>
            </w:r>
            <w:r w:rsidR="00C27AEE">
              <w:t>up to £1,000,000 funded from in-</w:t>
            </w:r>
            <w:r w:rsidR="00F67869" w:rsidRPr="00F67869">
              <w:t>kind contributions</w:t>
            </w:r>
            <w:r w:rsidR="000F0DB5">
              <w:t xml:space="preserve"> in terms of land</w:t>
            </w:r>
            <w:r w:rsidR="006B24FB">
              <w:t xml:space="preserve"> disposal and compensation</w:t>
            </w:r>
            <w:r w:rsidR="000F0DB5">
              <w:t xml:space="preserve"> value</w:t>
            </w:r>
            <w:r w:rsidR="006B24FB">
              <w:t>s</w:t>
            </w:r>
            <w:r w:rsidR="000F0DB5">
              <w:t xml:space="preserve"> foregone.</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B169F9">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B169F9" w:rsidP="002F49AE">
            <w:r>
              <w:t xml:space="preserve">Cllr Bob Price, </w:t>
            </w:r>
            <w:r w:rsidRPr="00B169F9">
              <w:t>Board Member for Corporate Strategy and Economic Development</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169F9" w:rsidP="00B169F9">
            <w:r>
              <w:t>Clean and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F49AE" w:rsidP="00B169F9">
            <w:r>
              <w:t>None</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2F49AE" w:rsidP="004A6D2F">
            <w:r>
              <w:rPr>
                <w:rStyle w:val="Firstpagetablebold"/>
              </w:rPr>
              <w:t>Recommendations</w:t>
            </w:r>
            <w:r w:rsidR="005F7F7E">
              <w:rPr>
                <w:rStyle w:val="Firstpagetablebold"/>
              </w:rPr>
              <w:t>:</w:t>
            </w:r>
            <w:r>
              <w:rPr>
                <w:rStyle w:val="Firstpagetablebold"/>
              </w:rPr>
              <w:t xml:space="preserve"> </w:t>
            </w:r>
            <w:r w:rsidR="005F7F7E" w:rsidRPr="002F49AE">
              <w:rPr>
                <w:rStyle w:val="Firstpagetablebold"/>
                <w:b w:val="0"/>
              </w:rPr>
              <w:t>That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B169F9" w:rsidRDefault="00B169F9" w:rsidP="006B24FB">
            <w:pPr>
              <w:rPr>
                <w:b/>
              </w:rPr>
            </w:pPr>
            <w:r>
              <w:rPr>
                <w:b/>
              </w:rPr>
              <w:t>A</w:t>
            </w:r>
            <w:r w:rsidRPr="00B169F9">
              <w:rPr>
                <w:b/>
              </w:rPr>
              <w:t>pprove</w:t>
            </w:r>
            <w:r>
              <w:t xml:space="preserve"> the increase of Oxford City Council</w:t>
            </w:r>
            <w:r w:rsidR="002F49AE">
              <w:t>’s</w:t>
            </w:r>
            <w:r>
              <w:t xml:space="preserve"> project contribution towards Oxford Flood Alleviation Scheme by up to £1,000,000 funded </w:t>
            </w:r>
            <w:r w:rsidR="006E7EBF">
              <w:t>from</w:t>
            </w:r>
            <w:r>
              <w:t xml:space="preserve"> </w:t>
            </w:r>
            <w:r w:rsidR="00C27AEE">
              <w:t>in-</w:t>
            </w:r>
            <w:r w:rsidR="006E7EBF">
              <w:t>kind contributions</w:t>
            </w:r>
            <w:r w:rsidR="001F5134">
              <w:t xml:space="preserve"> from land </w:t>
            </w:r>
            <w:r w:rsidR="006B24FB">
              <w:t>disposal</w:t>
            </w:r>
            <w:r w:rsidR="001F5134">
              <w:t xml:space="preserve"> </w:t>
            </w:r>
            <w:r w:rsidR="006B24FB">
              <w:t xml:space="preserve">and compensation </w:t>
            </w:r>
            <w:r w:rsidR="001F5134">
              <w:t>foregone</w:t>
            </w:r>
            <w:r w:rsidRPr="00B169F9">
              <w:rPr>
                <w:rStyle w:val="Firstpagetablebold"/>
              </w:rPr>
              <w:t>;</w:t>
            </w:r>
            <w:r>
              <w:rPr>
                <w:rStyle w:val="Firstpagetablebold"/>
              </w:rPr>
              <w:t xml:space="preserve"> </w:t>
            </w:r>
            <w:r w:rsidRPr="00B169F9">
              <w:rPr>
                <w:rStyle w:val="Firstpagetablebold"/>
                <w:b w:val="0"/>
              </w:rPr>
              <w:t>and</w:t>
            </w:r>
            <w:r w:rsidR="0030208D" w:rsidRPr="001356F1">
              <w:t xml:space="preserve"> </w:t>
            </w:r>
          </w:p>
        </w:tc>
      </w:tr>
      <w:tr w:rsidR="0030208D" w:rsidRPr="00975B07" w:rsidTr="004969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B169F9" w:rsidRDefault="00CA139F" w:rsidP="002F49AE">
            <w:pPr>
              <w:rPr>
                <w:b/>
              </w:rPr>
            </w:pPr>
            <w:r w:rsidRPr="00CA139F">
              <w:rPr>
                <w:rStyle w:val="Firstpagetablebold"/>
              </w:rPr>
              <w:t>D</w:t>
            </w:r>
            <w:r w:rsidR="00B169F9" w:rsidRPr="00CA139F">
              <w:rPr>
                <w:rStyle w:val="Firstpagetablebold"/>
              </w:rPr>
              <w:t>elegated authority</w:t>
            </w:r>
            <w:r w:rsidR="00B169F9" w:rsidRPr="00B169F9">
              <w:rPr>
                <w:rStyle w:val="Firstpagetablebold"/>
                <w:b w:val="0"/>
              </w:rPr>
              <w:t xml:space="preserve"> to Executive Director </w:t>
            </w:r>
            <w:r w:rsidR="002F49AE">
              <w:rPr>
                <w:rStyle w:val="Firstpagetablebold"/>
                <w:b w:val="0"/>
              </w:rPr>
              <w:t>for</w:t>
            </w:r>
            <w:r w:rsidR="00B169F9" w:rsidRPr="00B169F9">
              <w:rPr>
                <w:rStyle w:val="Firstpagetablebold"/>
                <w:b w:val="0"/>
              </w:rPr>
              <w:t xml:space="preserve"> Communit</w:t>
            </w:r>
            <w:r w:rsidR="002F49AE">
              <w:rPr>
                <w:rStyle w:val="Firstpagetablebold"/>
                <w:b w:val="0"/>
              </w:rPr>
              <w:t>y Services</w:t>
            </w:r>
            <w:r w:rsidR="00B169F9" w:rsidRPr="00B169F9">
              <w:rPr>
                <w:rStyle w:val="Firstpagetablebold"/>
                <w:b w:val="0"/>
              </w:rPr>
              <w:t xml:space="preserve">, in consultation with the Heads of </w:t>
            </w:r>
            <w:r w:rsidR="002F49AE" w:rsidRPr="00B169F9">
              <w:rPr>
                <w:rStyle w:val="Firstpagetablebold"/>
                <w:b w:val="0"/>
              </w:rPr>
              <w:t>Finan</w:t>
            </w:r>
            <w:r w:rsidR="002F49AE">
              <w:rPr>
                <w:rStyle w:val="Firstpagetablebold"/>
                <w:b w:val="0"/>
              </w:rPr>
              <w:t xml:space="preserve">cial </w:t>
            </w:r>
            <w:bookmarkStart w:id="0" w:name="_GoBack"/>
            <w:bookmarkEnd w:id="0"/>
            <w:r w:rsidR="002F49AE">
              <w:rPr>
                <w:rStyle w:val="Firstpagetablebold"/>
                <w:b w:val="0"/>
              </w:rPr>
              <w:t>Services</w:t>
            </w:r>
            <w:r w:rsidR="00B169F9" w:rsidRPr="00B169F9">
              <w:rPr>
                <w:rStyle w:val="Firstpagetablebold"/>
                <w:b w:val="0"/>
              </w:rPr>
              <w:t xml:space="preserve"> and Law and Governance, to be able to enter a funding agreement with Environment Agency. </w:t>
            </w:r>
          </w:p>
        </w:tc>
      </w:tr>
      <w:tr w:rsidR="00232F5B" w:rsidRPr="00975B07" w:rsidTr="004969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F5134" w:rsidP="004859FF">
            <w:r>
              <w:rPr>
                <w:rStyle w:val="Firstpagetablebold"/>
              </w:rPr>
              <w:t xml:space="preserve">Note </w:t>
            </w:r>
            <w:r w:rsidRPr="006B24FB">
              <w:rPr>
                <w:rStyle w:val="Firstpagetablebold"/>
                <w:b w:val="0"/>
              </w:rPr>
              <w:t>that a detailed report on proposed disposals to facilitate the Oxford Flood Alleviation Scheme and discou</w:t>
            </w:r>
            <w:r w:rsidR="006B24FB">
              <w:rPr>
                <w:rStyle w:val="Firstpagetablebold"/>
                <w:b w:val="0"/>
              </w:rPr>
              <w:t>n</w:t>
            </w:r>
            <w:r w:rsidRPr="006B24FB">
              <w:rPr>
                <w:rStyle w:val="Firstpagetablebold"/>
                <w:b w:val="0"/>
              </w:rPr>
              <w:t>ts proposed will be made to the City Executive Board in due course.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207F6" w:rsidP="00EE6072">
            <w:r>
              <w:t>Partnership Contribut</w:t>
            </w:r>
            <w:r w:rsidR="00EE6072">
              <w:t>ions- CONFIDENTIAL</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4207F6" w:rsidRPr="00975B07" w:rsidRDefault="0030208D" w:rsidP="004A6D2F">
            <w:r w:rsidRPr="00975B07">
              <w:t xml:space="preserve">Appendix </w:t>
            </w:r>
            <w:r w:rsidR="006B24FB">
              <w:t>2</w:t>
            </w:r>
          </w:p>
        </w:tc>
        <w:tc>
          <w:tcPr>
            <w:tcW w:w="6406" w:type="dxa"/>
            <w:tcBorders>
              <w:top w:val="nil"/>
              <w:left w:val="nil"/>
              <w:bottom w:val="single" w:sz="8" w:space="0" w:color="000000"/>
              <w:right w:val="single" w:sz="8" w:space="0" w:color="000000"/>
            </w:tcBorders>
          </w:tcPr>
          <w:p w:rsidR="004207F6" w:rsidRPr="001356F1" w:rsidRDefault="004207F6" w:rsidP="00EE6072">
            <w:r>
              <w:t xml:space="preserve">Risk Register </w:t>
            </w:r>
          </w:p>
        </w:tc>
      </w:tr>
    </w:tbl>
    <w:p w:rsidR="006B24FB" w:rsidRDefault="006B24FB" w:rsidP="004A6D2F">
      <w:pPr>
        <w:pStyle w:val="Heading1"/>
      </w:pPr>
    </w:p>
    <w:p w:rsidR="008144EB" w:rsidRPr="008144EB" w:rsidRDefault="008144EB" w:rsidP="008144EB"/>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6365DD" w:rsidRDefault="006365DD" w:rsidP="006365DD">
      <w:pPr>
        <w:pStyle w:val="ListParagraph"/>
      </w:pPr>
      <w:r>
        <w:t>At its meeting on 29 January 2015, the City Executive Board authorised the Council’s entry into a Memorandum of Understanding (“MOU”) with the Environment Agency in regard to bringing forward a major flood relief scheme for the city (”the Scheme”). Under the provisions of the MOU, the City Council indicated its general support for the Scheme and its intention to provide certain funding in support of it, subject to contributions also being made by other relevant bodies, and the contract conditions being otherwise satisfactory.</w:t>
      </w:r>
    </w:p>
    <w:p w:rsidR="006365DD" w:rsidRDefault="006365DD" w:rsidP="00F31657">
      <w:pPr>
        <w:pStyle w:val="ListParagraph"/>
      </w:pPr>
      <w:r>
        <w:t>At its meeting on 24 March 2016, the City Executive Board authorised</w:t>
      </w:r>
      <w:r w:rsidR="007A39DC">
        <w:t xml:space="preserve"> the Council’s entry into an</w:t>
      </w:r>
      <w:r>
        <w:t xml:space="preserve"> agreement with the Environment Agency, under which the Council would play an active role in the establishment of the business case</w:t>
      </w:r>
      <w:r w:rsidR="007A39DC">
        <w:t xml:space="preserve"> and </w:t>
      </w:r>
      <w:r>
        <w:t>provide funding to a capped sum</w:t>
      </w:r>
      <w:r w:rsidR="007A39DC">
        <w:t xml:space="preserve"> of £1.5 million</w:t>
      </w:r>
      <w:r w:rsidR="00F31657">
        <w:t>.</w:t>
      </w:r>
    </w:p>
    <w:p w:rsidR="004207F6" w:rsidRDefault="007A39DC" w:rsidP="004859FF">
      <w:pPr>
        <w:pStyle w:val="ListParagraph"/>
      </w:pPr>
      <w:r>
        <w:t>In the period since March 2016 the preferred route has been identified and Outline Business Case drafted for the preferred option (m</w:t>
      </w:r>
      <w:r w:rsidRPr="007A39DC">
        <w:t>edium channel and defences</w:t>
      </w:r>
      <w:r>
        <w:t>)</w:t>
      </w:r>
      <w:r w:rsidR="004859FF">
        <w:t xml:space="preserve"> which will </w:t>
      </w:r>
      <w:r w:rsidR="004859FF" w:rsidRPr="004859FF">
        <w:t xml:space="preserve">reduce the likelihood of flooding </w:t>
      </w:r>
      <w:r w:rsidR="004859FF">
        <w:t>to</w:t>
      </w:r>
      <w:r w:rsidR="004859FF" w:rsidRPr="004859FF">
        <w:t xml:space="preserve"> 1,500</w:t>
      </w:r>
      <w:r w:rsidR="004859FF">
        <w:t xml:space="preserve"> properties</w:t>
      </w:r>
      <w:r>
        <w:t>. T</w:t>
      </w:r>
      <w:r w:rsidRPr="007A39DC">
        <w:t>otal scheme cost is £121.11m</w:t>
      </w:r>
      <w:r>
        <w:t xml:space="preserve">, which </w:t>
      </w:r>
      <w:r w:rsidRPr="007A39DC">
        <w:t>includes £116.36m for design and construction and £4.75m for future maintenance.</w:t>
      </w:r>
      <w:r>
        <w:t xml:space="preserve"> The cost benefit ratio is 1:10. </w:t>
      </w:r>
    </w:p>
    <w:p w:rsidR="004207F6" w:rsidRPr="00DD2EB1" w:rsidRDefault="007A39DC" w:rsidP="00DD2EB1">
      <w:pPr>
        <w:pStyle w:val="ListParagraph"/>
        <w:rPr>
          <w:i/>
        </w:rPr>
      </w:pPr>
      <w:r>
        <w:t>Central Government Grant</w:t>
      </w:r>
      <w:r w:rsidR="006E7EBF">
        <w:t xml:space="preserve"> is being sought for majority of cost of scheme. However in addition,</w:t>
      </w:r>
      <w:r>
        <w:t xml:space="preserve"> s</w:t>
      </w:r>
      <w:r w:rsidRPr="007A39DC">
        <w:t xml:space="preserve">ubstantial partnership funding contributions </w:t>
      </w:r>
      <w:r>
        <w:t>have been secured</w:t>
      </w:r>
      <w:r w:rsidR="004207F6">
        <w:t xml:space="preserve"> </w:t>
      </w:r>
      <w:r>
        <w:t xml:space="preserve">or </w:t>
      </w:r>
      <w:r w:rsidR="004207F6">
        <w:t xml:space="preserve">still </w:t>
      </w:r>
      <w:r>
        <w:t xml:space="preserve">in </w:t>
      </w:r>
      <w:r w:rsidR="004207F6">
        <w:t>negotiation</w:t>
      </w:r>
      <w:r>
        <w:t xml:space="preserve"> to ensure</w:t>
      </w:r>
      <w:r w:rsidR="006E7EBF">
        <w:t xml:space="preserve"> the costs of the scheme can be met.</w:t>
      </w:r>
      <w:r w:rsidR="00C159FD">
        <w:t xml:space="preserve"> </w:t>
      </w:r>
      <w:r w:rsidR="00DD2EB1">
        <w:t>The Outline Business Case that has been submitted has identified a number of potential sources to close the current funding gap for scheme. Without these sources the scheme is at risk of not being fully funded and therefore a risk of scheme not being approved by HM Treasury.</w:t>
      </w:r>
      <w:r w:rsidR="00D961AD">
        <w:t xml:space="preserve">  Appendix 1 sets out the current position in respect of funding, it is held to be confidential at present as it includes sums currently being negotiated.</w:t>
      </w:r>
    </w:p>
    <w:p w:rsidR="006E7EBF" w:rsidRDefault="004207F6" w:rsidP="006E7EBF">
      <w:pPr>
        <w:pStyle w:val="ListParagraph"/>
      </w:pPr>
      <w:r>
        <w:t xml:space="preserve">As part of the ‘partnership funding contribution in negotiation’, the Environment Agency </w:t>
      </w:r>
      <w:r w:rsidR="00D961AD">
        <w:t>is asking landowners to facilitate the scheme by gifting their land</w:t>
      </w:r>
      <w:r w:rsidR="006B24FB">
        <w:t xml:space="preserve"> and/or land compensation</w:t>
      </w:r>
      <w:r w:rsidR="00D961AD">
        <w:t xml:space="preserve">.  In the case of the City Council the land interests are substantial and it is proposed that a cap on any land </w:t>
      </w:r>
      <w:r w:rsidR="006B24FB">
        <w:t xml:space="preserve">disposal or/and compensation </w:t>
      </w:r>
      <w:r w:rsidR="00D961AD">
        <w:t>gifted is made.  Doing so at this stage provides certainty to the scheme in terms of partnership contributions and to the Council in its land dealings.  It is proposed that a cap is imposed at the value of £1m.</w:t>
      </w:r>
      <w:r w:rsidR="00DD2EB1" w:rsidRPr="00DD2EB1">
        <w:t xml:space="preserve"> </w:t>
      </w:r>
    </w:p>
    <w:p w:rsidR="00F31657" w:rsidRPr="00F95F26" w:rsidRDefault="004207F6" w:rsidP="00F31657">
      <w:pPr>
        <w:pStyle w:val="ListParagraph"/>
        <w:rPr>
          <w:i/>
        </w:rPr>
      </w:pPr>
      <w:r w:rsidRPr="004207F6">
        <w:t xml:space="preserve">Following the Outline Business Case, the Environment Agency will develop their Full Business Case where further efficiencies could be found. It is at Full Business Case stage that the Environment Agency must be putting forward a fully funded scheme to HM Treasury </w:t>
      </w:r>
      <w:r w:rsidR="00DD2EB1">
        <w:t xml:space="preserve">in order </w:t>
      </w:r>
      <w:r>
        <w:t>to secure</w:t>
      </w:r>
      <w:r w:rsidRPr="004207F6">
        <w:t xml:space="preserve"> approval to </w:t>
      </w:r>
      <w:r>
        <w:t xml:space="preserve">commence </w:t>
      </w:r>
      <w:r w:rsidRPr="004207F6">
        <w:t>deliver</w:t>
      </w:r>
      <w:r>
        <w:t>y of the Scheme</w:t>
      </w:r>
      <w:r w:rsidR="00C7286C">
        <w:t xml:space="preserve"> we expect that this will be later in 2017</w:t>
      </w:r>
    </w:p>
    <w:p w:rsidR="007058FB" w:rsidRDefault="007058FB" w:rsidP="007058FB">
      <w:pPr>
        <w:pStyle w:val="ListParagraph"/>
        <w:numPr>
          <w:ilvl w:val="0"/>
          <w:numId w:val="0"/>
        </w:numPr>
        <w:ind w:left="360"/>
      </w:pPr>
    </w:p>
    <w:p w:rsidR="006E7EBF" w:rsidRPr="001356F1" w:rsidRDefault="006E7EBF" w:rsidP="006E7EBF">
      <w:pPr>
        <w:pStyle w:val="Heading1"/>
      </w:pPr>
      <w:r>
        <w:t>Financial Issues</w:t>
      </w:r>
    </w:p>
    <w:p w:rsidR="00F31657" w:rsidRPr="00F31657" w:rsidRDefault="00F31657" w:rsidP="00F31657">
      <w:pPr>
        <w:pStyle w:val="ListParagraph"/>
        <w:rPr>
          <w:color w:val="000000" w:themeColor="text1"/>
        </w:rPr>
      </w:pPr>
      <w:r w:rsidRPr="00F31657">
        <w:rPr>
          <w:color w:val="000000" w:themeColor="text1"/>
        </w:rPr>
        <w:t xml:space="preserve">The City Council has already provided for the </w:t>
      </w:r>
      <w:r>
        <w:rPr>
          <w:color w:val="000000" w:themeColor="text1"/>
        </w:rPr>
        <w:t xml:space="preserve">initial </w:t>
      </w:r>
      <w:r w:rsidRPr="00F31657">
        <w:rPr>
          <w:color w:val="000000" w:themeColor="text1"/>
        </w:rPr>
        <w:t>£1.5 million contribution to the scheme within its Medium Term Financial Plan. The background for which is stated in paragraph 2.</w:t>
      </w:r>
    </w:p>
    <w:p w:rsidR="006E7EBF" w:rsidRPr="006B7FB3" w:rsidRDefault="006E7EBF" w:rsidP="006B7FB3">
      <w:pPr>
        <w:pStyle w:val="ListParagraph"/>
        <w:rPr>
          <w:color w:val="FF0000"/>
        </w:rPr>
      </w:pPr>
      <w:r>
        <w:t>The additional contribution</w:t>
      </w:r>
      <w:r w:rsidR="002D25FC">
        <w:t xml:space="preserve"> </w:t>
      </w:r>
      <w:r>
        <w:t xml:space="preserve">of up to £1 million will be funded from in-kind </w:t>
      </w:r>
      <w:r w:rsidRPr="006E7EBF">
        <w:rPr>
          <w:color w:val="auto"/>
        </w:rPr>
        <w:t>contributions</w:t>
      </w:r>
      <w:r w:rsidR="00123F43">
        <w:rPr>
          <w:color w:val="auto"/>
        </w:rPr>
        <w:t xml:space="preserve"> by which we mean</w:t>
      </w:r>
      <w:r w:rsidR="002D25FC">
        <w:rPr>
          <w:color w:val="auto"/>
        </w:rPr>
        <w:t xml:space="preserve"> waiving land</w:t>
      </w:r>
      <w:r w:rsidR="006B24FB">
        <w:rPr>
          <w:color w:val="auto"/>
        </w:rPr>
        <w:t xml:space="preserve"> disposal and</w:t>
      </w:r>
      <w:r w:rsidR="002D25FC">
        <w:rPr>
          <w:color w:val="auto"/>
        </w:rPr>
        <w:t xml:space="preserve"> compensation</w:t>
      </w:r>
      <w:r w:rsidR="006B24FB">
        <w:rPr>
          <w:color w:val="auto"/>
        </w:rPr>
        <w:t xml:space="preserve"> costs</w:t>
      </w:r>
      <w:r w:rsidR="002D25FC">
        <w:rPr>
          <w:color w:val="auto"/>
        </w:rPr>
        <w:t xml:space="preserve"> </w:t>
      </w:r>
      <w:r w:rsidR="00123F43">
        <w:rPr>
          <w:color w:val="auto"/>
        </w:rPr>
        <w:t xml:space="preserve">which would be incurred to the Environment Agency </w:t>
      </w:r>
      <w:r w:rsidR="00123F43" w:rsidRPr="006E7EBF">
        <w:rPr>
          <w:color w:val="auto"/>
        </w:rPr>
        <w:t>by Oxford City Council</w:t>
      </w:r>
      <w:r w:rsidR="00123F43">
        <w:rPr>
          <w:color w:val="auto"/>
        </w:rPr>
        <w:t xml:space="preserve"> in</w:t>
      </w:r>
      <w:r w:rsidR="002D25FC">
        <w:rPr>
          <w:color w:val="auto"/>
        </w:rPr>
        <w:t xml:space="preserve"> the delivery of the </w:t>
      </w:r>
      <w:r w:rsidR="00123F43">
        <w:rPr>
          <w:color w:val="auto"/>
        </w:rPr>
        <w:t>Oxford Flood Alleviation S</w:t>
      </w:r>
      <w:r w:rsidR="002D25FC">
        <w:rPr>
          <w:color w:val="auto"/>
        </w:rPr>
        <w:t>cheme</w:t>
      </w:r>
      <w:r w:rsidR="00123F43">
        <w:rPr>
          <w:color w:val="auto"/>
        </w:rPr>
        <w:t xml:space="preserve">. </w:t>
      </w:r>
    </w:p>
    <w:p w:rsidR="00366FAD" w:rsidRPr="006B24FB" w:rsidRDefault="008A0300" w:rsidP="002F49AE">
      <w:pPr>
        <w:pStyle w:val="ListParagraph"/>
      </w:pPr>
      <w:r>
        <w:lastRenderedPageBreak/>
        <w:t>The in-kind contributions that would be accounted for as part of the Councils’ up to £1 million does not include adoption of assets with future maintenance liability or waiving of compensation payable to tenant farm</w:t>
      </w:r>
      <w:r w:rsidR="00532D2D">
        <w:t>er</w:t>
      </w:r>
      <w:r>
        <w:t xml:space="preserve"> of Manor Farm</w:t>
      </w:r>
      <w:r w:rsidR="00532D2D">
        <w:t xml:space="preserve"> nor the tenants of allotments at </w:t>
      </w:r>
      <w:proofErr w:type="spellStart"/>
      <w:r w:rsidR="00340EA4">
        <w:t>Bullstake</w:t>
      </w:r>
      <w:proofErr w:type="spellEnd"/>
      <w:r w:rsidR="00340EA4">
        <w:t xml:space="preserve"> Close (</w:t>
      </w:r>
      <w:proofErr w:type="spellStart"/>
      <w:r w:rsidR="00340EA4">
        <w:t>Botley</w:t>
      </w:r>
      <w:proofErr w:type="spellEnd"/>
      <w:r w:rsidR="00340EA4">
        <w:t xml:space="preserve"> Road) or </w:t>
      </w:r>
      <w:proofErr w:type="spellStart"/>
      <w:r w:rsidR="00340EA4">
        <w:t>Cowmead</w:t>
      </w:r>
      <w:proofErr w:type="spellEnd"/>
      <w:r w:rsidR="002D25FC">
        <w:t>.</w:t>
      </w:r>
      <w:r w:rsidR="00135488">
        <w:t xml:space="preserve"> The principle w</w:t>
      </w:r>
      <w:r w:rsidR="00340EA4">
        <w:t>ill</w:t>
      </w:r>
      <w:r w:rsidR="00135488">
        <w:t xml:space="preserve"> be for these tenants to seek compensation directly from the Environment Agency</w:t>
      </w:r>
    </w:p>
    <w:p w:rsidR="006B7FB3" w:rsidRDefault="006B7FB3" w:rsidP="006B7FB3">
      <w:pPr>
        <w:pStyle w:val="Heading1"/>
      </w:pPr>
      <w:r>
        <w:t>Legal Issues</w:t>
      </w:r>
    </w:p>
    <w:p w:rsidR="007058FB" w:rsidRDefault="00366FAD" w:rsidP="00260DE8">
      <w:pPr>
        <w:pStyle w:val="ListParagraph"/>
      </w:pPr>
      <w:r>
        <w:t>A legal a</w:t>
      </w:r>
      <w:r w:rsidR="00260DE8">
        <w:t>greement</w:t>
      </w:r>
      <w:r>
        <w:t xml:space="preserve"> between the Council and the Environment Agency will be </w:t>
      </w:r>
      <w:r w:rsidR="00260DE8">
        <w:t>entered into</w:t>
      </w:r>
      <w:r>
        <w:t xml:space="preserve"> under which the principles for </w:t>
      </w:r>
      <w:r w:rsidR="008A0300">
        <w:t xml:space="preserve">the </w:t>
      </w:r>
      <w:r w:rsidR="00D84410">
        <w:t>in-</w:t>
      </w:r>
      <w:r>
        <w:t>kind provision up to the value of £1 million will be explicit.</w:t>
      </w:r>
      <w:r w:rsidR="00D84410">
        <w:t xml:space="preserve"> This will include an agreed definition of in-kind along the lines described in paragraph 4. </w:t>
      </w:r>
      <w:r w:rsidR="00260DE8">
        <w:t>This agreement will be entered into by Executive Director- Communities in consultation with</w:t>
      </w:r>
      <w:r w:rsidR="00260DE8" w:rsidRPr="00260DE8">
        <w:t xml:space="preserve"> </w:t>
      </w:r>
      <w:r w:rsidR="00260DE8">
        <w:t xml:space="preserve">the </w:t>
      </w:r>
      <w:r w:rsidR="00260DE8" w:rsidRPr="00260DE8">
        <w:t>Heads of Finance and Law and Governance</w:t>
      </w:r>
      <w:r w:rsidR="00260DE8">
        <w:t>.</w:t>
      </w:r>
    </w:p>
    <w:p w:rsidR="004859FF" w:rsidRPr="00F96CE1" w:rsidRDefault="00366FAD" w:rsidP="004859FF">
      <w:pPr>
        <w:pStyle w:val="ListParagraph"/>
      </w:pPr>
      <w:r w:rsidRPr="007058FB">
        <w:t xml:space="preserve">There </w:t>
      </w:r>
      <w:r w:rsidR="007058FB" w:rsidRPr="007058FB">
        <w:t xml:space="preserve">may </w:t>
      </w:r>
      <w:r w:rsidRPr="007058FB">
        <w:t xml:space="preserve">be a need for separate legal arrangements for </w:t>
      </w:r>
      <w:r w:rsidR="007058FB" w:rsidRPr="007058FB">
        <w:t>specific in-kind contribution</w:t>
      </w:r>
      <w:r w:rsidR="004969C4">
        <w:t xml:space="preserve">s which make up this £1 million, in particular </w:t>
      </w:r>
      <w:r w:rsidR="007058FB" w:rsidRPr="007058FB">
        <w:t xml:space="preserve">in the case of a </w:t>
      </w:r>
      <w:r w:rsidR="007058FB" w:rsidRPr="007058FB">
        <w:rPr>
          <w:i/>
        </w:rPr>
        <w:t>“d</w:t>
      </w:r>
      <w:r w:rsidRPr="007058FB">
        <w:rPr>
          <w:i/>
          <w:color w:val="auto"/>
        </w:rPr>
        <w:t>irect provision of land that will form part of the scheme</w:t>
      </w:r>
      <w:r w:rsidR="007058FB" w:rsidRPr="007058FB">
        <w:rPr>
          <w:i/>
          <w:color w:val="auto"/>
        </w:rPr>
        <w:t>”</w:t>
      </w:r>
      <w:r w:rsidR="004969C4">
        <w:rPr>
          <w:color w:val="auto"/>
        </w:rPr>
        <w:t>.</w:t>
      </w:r>
      <w:r w:rsidR="00F96CE1">
        <w:rPr>
          <w:color w:val="auto"/>
        </w:rPr>
        <w:t xml:space="preserve"> It is proposed that t</w:t>
      </w:r>
      <w:r w:rsidR="007058FB" w:rsidRPr="007058FB">
        <w:rPr>
          <w:color w:val="auto"/>
        </w:rPr>
        <w:t xml:space="preserve">his </w:t>
      </w:r>
      <w:r w:rsidR="00F96CE1">
        <w:rPr>
          <w:color w:val="auto"/>
        </w:rPr>
        <w:t>would</w:t>
      </w:r>
      <w:r w:rsidR="007058FB" w:rsidRPr="007058FB">
        <w:rPr>
          <w:color w:val="auto"/>
        </w:rPr>
        <w:t xml:space="preserve"> be done via a disposal of land order under market value a</w:t>
      </w:r>
      <w:r w:rsidR="008A0300">
        <w:rPr>
          <w:color w:val="auto"/>
        </w:rPr>
        <w:t>s approved by S</w:t>
      </w:r>
      <w:r w:rsidR="007058FB" w:rsidRPr="007058FB">
        <w:rPr>
          <w:color w:val="auto"/>
        </w:rPr>
        <w:t xml:space="preserve">ecretary of </w:t>
      </w:r>
      <w:r w:rsidR="008A0300">
        <w:rPr>
          <w:color w:val="auto"/>
        </w:rPr>
        <w:t>S</w:t>
      </w:r>
      <w:r w:rsidR="007058FB" w:rsidRPr="007058FB">
        <w:rPr>
          <w:color w:val="auto"/>
        </w:rPr>
        <w:t>tate</w:t>
      </w:r>
      <w:r w:rsidR="008A0300">
        <w:rPr>
          <w:color w:val="auto"/>
        </w:rPr>
        <w:t xml:space="preserve"> under the General Disposal Consent (England) 2003 powers</w:t>
      </w:r>
      <w:r w:rsidR="007058FB" w:rsidRPr="007058FB">
        <w:rPr>
          <w:color w:val="auto"/>
        </w:rPr>
        <w:t>.</w:t>
      </w:r>
      <w:r w:rsidR="00F96CE1">
        <w:rPr>
          <w:color w:val="auto"/>
        </w:rPr>
        <w:t xml:space="preserve"> The reasons for the potential disposal of land at an undervalue would be as follows:</w:t>
      </w:r>
      <w:r w:rsidR="004859FF" w:rsidRPr="004859FF">
        <w:rPr>
          <w:color w:val="auto"/>
        </w:rPr>
        <w:t xml:space="preserve"> </w:t>
      </w:r>
    </w:p>
    <w:p w:rsidR="00F96CE1" w:rsidRDefault="00F96CE1" w:rsidP="00F96CE1">
      <w:pPr>
        <w:pStyle w:val="ListParagraph"/>
        <w:numPr>
          <w:ilvl w:val="0"/>
          <w:numId w:val="40"/>
        </w:numPr>
      </w:pPr>
      <w:r>
        <w:t xml:space="preserve">The Council considers that the disposal for the purposes of delivering the Oxford Flood Alleviation Scheme is likely to contribute to the achievement of: </w:t>
      </w:r>
    </w:p>
    <w:p w:rsidR="00F96CE1" w:rsidRDefault="00F96CE1" w:rsidP="00F96CE1">
      <w:pPr>
        <w:pStyle w:val="ListParagraph"/>
        <w:numPr>
          <w:ilvl w:val="0"/>
          <w:numId w:val="39"/>
        </w:numPr>
      </w:pPr>
      <w:r>
        <w:t>the promotion or improvement of economic well-being;</w:t>
      </w:r>
    </w:p>
    <w:p w:rsidR="00F96CE1" w:rsidRDefault="00F96CE1" w:rsidP="00F96CE1">
      <w:pPr>
        <w:pStyle w:val="ListParagraph"/>
        <w:numPr>
          <w:ilvl w:val="0"/>
          <w:numId w:val="39"/>
        </w:numPr>
      </w:pPr>
      <w:r>
        <w:t>the promotion or improvement of social well-being;</w:t>
      </w:r>
    </w:p>
    <w:p w:rsidR="00F96CE1" w:rsidRDefault="00F96CE1" w:rsidP="00F96CE1">
      <w:pPr>
        <w:pStyle w:val="ListParagraph"/>
        <w:numPr>
          <w:ilvl w:val="0"/>
          <w:numId w:val="39"/>
        </w:numPr>
      </w:pPr>
      <w:r>
        <w:t>the promotion or improvement of environmental well-being; and</w:t>
      </w:r>
    </w:p>
    <w:p w:rsidR="00F96CE1" w:rsidRDefault="00F96CE1" w:rsidP="00F96CE1">
      <w:pPr>
        <w:pStyle w:val="ListParagraph"/>
        <w:numPr>
          <w:ilvl w:val="0"/>
          <w:numId w:val="40"/>
        </w:numPr>
      </w:pPr>
      <w:proofErr w:type="gramStart"/>
      <w:r>
        <w:t>the</w:t>
      </w:r>
      <w:proofErr w:type="gramEnd"/>
      <w:r>
        <w:t xml:space="preserve"> best price reasonably obtainable for each of the parcels of land does not exceed £2,000,000.</w:t>
      </w:r>
    </w:p>
    <w:p w:rsidR="00F96CE1" w:rsidRPr="00F96CE1" w:rsidRDefault="004859FF" w:rsidP="00260DE8">
      <w:pPr>
        <w:pStyle w:val="ListParagraph"/>
      </w:pPr>
      <w:r>
        <w:rPr>
          <w:color w:val="auto"/>
        </w:rPr>
        <w:t>I</w:t>
      </w:r>
      <w:r w:rsidR="007058FB" w:rsidRPr="007058FB">
        <w:rPr>
          <w:color w:val="auto"/>
        </w:rPr>
        <w:t xml:space="preserve">n circumstances where the Council wishes to retain the freehold, </w:t>
      </w:r>
      <w:r w:rsidR="004969C4">
        <w:rPr>
          <w:color w:val="auto"/>
        </w:rPr>
        <w:t xml:space="preserve">the in-kind provision of land </w:t>
      </w:r>
      <w:r w:rsidR="007058FB" w:rsidRPr="007058FB">
        <w:rPr>
          <w:color w:val="auto"/>
        </w:rPr>
        <w:t>could be done via issuing a rent free lease to OFAS for the duration of construction.</w:t>
      </w:r>
      <w:r w:rsidR="004969C4">
        <w:rPr>
          <w:color w:val="auto"/>
        </w:rPr>
        <w:t xml:space="preserve"> </w:t>
      </w:r>
    </w:p>
    <w:p w:rsidR="00260DE8" w:rsidRDefault="004969C4" w:rsidP="006B7FB3">
      <w:pPr>
        <w:pStyle w:val="ListParagraph"/>
      </w:pPr>
      <w:r>
        <w:rPr>
          <w:color w:val="auto"/>
        </w:rPr>
        <w:t xml:space="preserve">Any specific and separate legal </w:t>
      </w:r>
      <w:r>
        <w:t>agreements will be entered into by Executive Director- Communities in consultation with</w:t>
      </w:r>
      <w:r w:rsidRPr="00260DE8">
        <w:t xml:space="preserve"> </w:t>
      </w:r>
      <w:r>
        <w:t xml:space="preserve">the </w:t>
      </w:r>
      <w:r w:rsidRPr="00260DE8">
        <w:t>Heads of Finance and Law and Governance</w:t>
      </w:r>
      <w:r>
        <w:t>.</w:t>
      </w:r>
    </w:p>
    <w:p w:rsidR="006B7FB3" w:rsidRDefault="006B7FB3" w:rsidP="006B7FB3">
      <w:pPr>
        <w:pStyle w:val="Heading1"/>
      </w:pPr>
      <w:r>
        <w:t>Other implications</w:t>
      </w:r>
    </w:p>
    <w:p w:rsidR="00260DE8" w:rsidRPr="002F49AE" w:rsidRDefault="00D84410" w:rsidP="006B7FB3">
      <w:pPr>
        <w:pStyle w:val="ListParagraph"/>
        <w:rPr>
          <w:b/>
        </w:rPr>
      </w:pPr>
      <w:r w:rsidRPr="00D84410">
        <w:t xml:space="preserve">OFAS will reduce the flood risk of 1,500 properties in Oxford. </w:t>
      </w:r>
      <w:r w:rsidR="00260DE8">
        <w:t xml:space="preserve">The in-kind contribution of up to £1 million will represent the Councils’ continued </w:t>
      </w:r>
      <w:r w:rsidRPr="00D84410">
        <w:t xml:space="preserve">commitment to the scheme and </w:t>
      </w:r>
      <w:r w:rsidR="00260DE8">
        <w:t>assist in proving</w:t>
      </w:r>
      <w:r w:rsidRPr="00D84410">
        <w:t xml:space="preserve"> the schemes affordability</w:t>
      </w:r>
      <w:r w:rsidR="00260DE8">
        <w:t>.</w:t>
      </w:r>
      <w:r>
        <w:rPr>
          <w:b/>
        </w:rPr>
        <w:t xml:space="preserve"> </w:t>
      </w:r>
    </w:p>
    <w:p w:rsidR="006B7FB3" w:rsidRDefault="006B7FB3" w:rsidP="006B7FB3">
      <w:pPr>
        <w:pStyle w:val="Heading1"/>
      </w:pPr>
      <w:r>
        <w:t>Environmental</w:t>
      </w:r>
    </w:p>
    <w:p w:rsidR="00BF5C73" w:rsidRPr="006B7FB3" w:rsidRDefault="00BF5C73" w:rsidP="002F49AE">
      <w:pPr>
        <w:pStyle w:val="ListParagraph"/>
      </w:pPr>
      <w:r>
        <w:t>Whilst the Scheme will create a n</w:t>
      </w:r>
      <w:r w:rsidRPr="00BF5C73">
        <w:t xml:space="preserve">ew riverside environment between North </w:t>
      </w:r>
      <w:proofErr w:type="spellStart"/>
      <w:r w:rsidRPr="00BF5C73">
        <w:t>Hinksey</w:t>
      </w:r>
      <w:proofErr w:type="spellEnd"/>
      <w:r w:rsidRPr="00BF5C73">
        <w:t xml:space="preserve"> and South </w:t>
      </w:r>
      <w:proofErr w:type="spellStart"/>
      <w:r w:rsidRPr="00BF5C73">
        <w:t>Hinksey</w:t>
      </w:r>
      <w:proofErr w:type="spellEnd"/>
      <w:r>
        <w:t>, during the construction of this Scheme t</w:t>
      </w:r>
      <w:r w:rsidR="006B7FB3" w:rsidRPr="006B7FB3">
        <w:t>here will inevitably be significant environmenta</w:t>
      </w:r>
      <w:r w:rsidR="00260DE8">
        <w:t>l implications</w:t>
      </w:r>
      <w:r>
        <w:t xml:space="preserve">. These </w:t>
      </w:r>
      <w:r w:rsidR="00F67869">
        <w:t xml:space="preserve">are </w:t>
      </w:r>
      <w:r>
        <w:t>be</w:t>
      </w:r>
      <w:r w:rsidR="00F67869">
        <w:t>ing</w:t>
      </w:r>
      <w:r>
        <w:t xml:space="preserve"> evaluated and mitigated against</w:t>
      </w:r>
      <w:r w:rsidR="00F67869">
        <w:t xml:space="preserve"> by the Scheme</w:t>
      </w:r>
      <w:r>
        <w:t xml:space="preserve"> via the Planning process. Opportunities to improve biodiversity are being included within the Schemes design</w:t>
      </w:r>
      <w:r w:rsidR="00431C0D">
        <w:t xml:space="preserve"> including wetland features, scrapes and backwaters, wet woodland planting, tree and hedgerow planting</w:t>
      </w:r>
      <w:r w:rsidR="006B24FB">
        <w:t>.</w:t>
      </w:r>
    </w:p>
    <w:p w:rsidR="006B7FB3" w:rsidRDefault="006B7FB3" w:rsidP="006B7FB3">
      <w:pPr>
        <w:pStyle w:val="Heading1"/>
      </w:pPr>
      <w:r>
        <w:lastRenderedPageBreak/>
        <w:t>Equalities impact</w:t>
      </w:r>
    </w:p>
    <w:p w:rsidR="00BF5C73" w:rsidRPr="006B7FB3" w:rsidRDefault="006B7FB3" w:rsidP="002F49AE">
      <w:pPr>
        <w:pStyle w:val="ListParagraph"/>
      </w:pPr>
      <w:r w:rsidRPr="006B7FB3">
        <w:t>No Equalities Impact Assessment is considered necessary</w:t>
      </w:r>
      <w:r w:rsidR="004859FF">
        <w:t xml:space="preserve"> after undertaking the screening process</w:t>
      </w:r>
      <w:r w:rsidRPr="006B7FB3">
        <w:t>.</w:t>
      </w:r>
    </w:p>
    <w:p w:rsidR="006B7FB3" w:rsidRDefault="006B7FB3" w:rsidP="006B7FB3">
      <w:pPr>
        <w:pStyle w:val="Heading1"/>
      </w:pPr>
      <w:r>
        <w:t>Risk</w:t>
      </w:r>
    </w:p>
    <w:p w:rsidR="006B7FB3" w:rsidRDefault="006B7FB3" w:rsidP="006B7FB3">
      <w:pPr>
        <w:pStyle w:val="ListParagraph"/>
      </w:pPr>
      <w:r w:rsidRPr="00260DE8">
        <w:t>The risk involved to the Council is primarily financial, due to its commitment to</w:t>
      </w:r>
      <w:r w:rsidR="00260DE8">
        <w:t xml:space="preserve"> </w:t>
      </w:r>
      <w:r w:rsidRPr="00260DE8">
        <w:t>make a substantial financial contribution to the Scheme</w:t>
      </w:r>
      <w:r w:rsidR="00D51864">
        <w:t>. T</w:t>
      </w:r>
      <w:r w:rsidRPr="00260DE8">
        <w:t>his risk should be</w:t>
      </w:r>
      <w:r w:rsidR="00260DE8">
        <w:t xml:space="preserve"> </w:t>
      </w:r>
      <w:r w:rsidRPr="00260DE8">
        <w:t>mitigated by the provisions of the Agreement itself</w:t>
      </w:r>
      <w:r w:rsidR="00276415">
        <w:t>, the on-going management of agreement between the Council and the EA</w:t>
      </w:r>
      <w:r w:rsidRPr="00260DE8">
        <w:t xml:space="preserve"> and the Council’s on-going</w:t>
      </w:r>
      <w:r w:rsidR="00260DE8">
        <w:t xml:space="preserve"> </w:t>
      </w:r>
      <w:r w:rsidRPr="00260DE8">
        <w:t xml:space="preserve">presence on the </w:t>
      </w:r>
      <w:r w:rsidR="00372D2C">
        <w:t xml:space="preserve">Sponsor and </w:t>
      </w:r>
      <w:r w:rsidRPr="00260DE8">
        <w:t>Programme Board</w:t>
      </w:r>
      <w:r w:rsidR="00372D2C">
        <w:t>s</w:t>
      </w:r>
      <w:r w:rsidRPr="00260DE8">
        <w:t>.</w:t>
      </w:r>
    </w:p>
    <w:p w:rsidR="002329CF" w:rsidRDefault="00276415" w:rsidP="00F67869">
      <w:pPr>
        <w:pStyle w:val="ListParagraph"/>
      </w:pPr>
      <w:r>
        <w:t>The</w:t>
      </w:r>
      <w:r w:rsidR="00D51864">
        <w:t xml:space="preserve"> secondary risk is r</w:t>
      </w:r>
      <w:r>
        <w:t>eputational</w:t>
      </w:r>
      <w:r w:rsidR="00D51864">
        <w:t xml:space="preserve"> </w:t>
      </w:r>
      <w:r w:rsidR="002F49AE">
        <w:t>if the Council’s</w:t>
      </w:r>
      <w:r w:rsidR="00D51864">
        <w:t xml:space="preserve"> contribution is perceived to be lacking. This risk sh</w:t>
      </w:r>
      <w:r w:rsidR="00F67869">
        <w:t xml:space="preserve">ould be mitigated by </w:t>
      </w:r>
      <w:r w:rsidR="00D51864">
        <w:t xml:space="preserve">the Council’s on-going presence on the Scheme as a named Partner and standing member on Programme Executive, Programme Board and Project Board. </w:t>
      </w:r>
    </w:p>
    <w:p w:rsidR="004859FF" w:rsidRDefault="004859FF" w:rsidP="004859FF">
      <w:pPr>
        <w:pStyle w:val="ListParagraph"/>
      </w:pPr>
      <w:r>
        <w:t>There is a risk that if the Council do</w:t>
      </w:r>
      <w:r w:rsidR="002F49AE">
        <w:t>es not contribute,</w:t>
      </w:r>
      <w:r>
        <w:t xml:space="preserve"> along with other potential sources of funding identified to bridge the funding gap, that the scheme will not be fully funded and therefore does not go ahead and thus not reducing the flood risk to 1500 properties. This risk </w:t>
      </w:r>
      <w:r w:rsidR="009F5E9E">
        <w:t>c</w:t>
      </w:r>
      <w:r>
        <w:t>ould be mitigated by the Council contributing and</w:t>
      </w:r>
      <w:r w:rsidR="009F5E9E">
        <w:t>/or</w:t>
      </w:r>
      <w:r>
        <w:t xml:space="preserve"> continuing to advocate the project to other potential funders in its capacity as a named Partner and standing member on Programme Executive, Programme Board and Project Board. </w:t>
      </w:r>
    </w:p>
    <w:p w:rsidR="00F67869" w:rsidRPr="001356F1" w:rsidRDefault="00F67869" w:rsidP="00F67869"/>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12186" w:rsidP="00612186">
            <w:r>
              <w:t>Helen Vaughan-Evans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12186" w:rsidP="00612186">
            <w:r>
              <w:t>Project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12186" w:rsidP="00612186">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612186">
              <w:t>252156</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12186" w:rsidP="00A46E98">
            <w:pPr>
              <w:rPr>
                <w:rStyle w:val="Hyperlink"/>
                <w:color w:val="000000"/>
              </w:rPr>
            </w:pPr>
            <w:r>
              <w:rPr>
                <w:rStyle w:val="Hyperlink"/>
                <w:color w:val="000000"/>
              </w:rPr>
              <w:t>hvaughanevans</w:t>
            </w:r>
            <w:r w:rsidR="00F67869">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75" w:rsidRDefault="00555475" w:rsidP="004A6D2F">
      <w:r>
        <w:separator/>
      </w:r>
    </w:p>
  </w:endnote>
  <w:endnote w:type="continuationSeparator" w:id="0">
    <w:p w:rsidR="00555475" w:rsidRDefault="0055547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75" w:rsidRDefault="00555475" w:rsidP="004A6D2F">
      <w:r>
        <w:separator/>
      </w:r>
    </w:p>
  </w:footnote>
  <w:footnote w:type="continuationSeparator" w:id="0">
    <w:p w:rsidR="00555475" w:rsidRDefault="0055547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B6F2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123CB1"/>
    <w:multiLevelType w:val="multilevel"/>
    <w:tmpl w:val="9F6ED33C"/>
    <w:lvl w:ilvl="0">
      <w:start w:val="1"/>
      <w:numFmt w:val="decimal"/>
      <w:pStyle w:val="OBCCaseHeading"/>
      <w:lvlText w:val="%1."/>
      <w:lvlJc w:val="left"/>
      <w:pPr>
        <w:ind w:left="360" w:hanging="360"/>
      </w:pPr>
      <w:rPr>
        <w:rFonts w:hint="default"/>
      </w:rPr>
    </w:lvl>
    <w:lvl w:ilvl="1">
      <w:start w:val="1"/>
      <w:numFmt w:val="decimal"/>
      <w:pStyle w:val="OBCCaseSectionNumbered"/>
      <w:lvlText w:val="%1.%2."/>
      <w:lvlJc w:val="left"/>
      <w:pPr>
        <w:ind w:left="0" w:firstLine="0"/>
      </w:pPr>
      <w:rPr>
        <w:rFonts w:hint="default"/>
      </w:rPr>
    </w:lvl>
    <w:lvl w:ilvl="2">
      <w:start w:val="1"/>
      <w:numFmt w:val="decimal"/>
      <w:pStyle w:val="OBCNumberedSection"/>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697CA1"/>
    <w:multiLevelType w:val="hybridMultilevel"/>
    <w:tmpl w:val="E0D853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3C27D18"/>
    <w:multiLevelType w:val="hybridMultilevel"/>
    <w:tmpl w:val="40161CBC"/>
    <w:lvl w:ilvl="0" w:tplc="A372B3BE">
      <w:start w:val="1"/>
      <w:numFmt w:val="bullet"/>
      <w:pStyle w:val="OB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36C45"/>
    <w:multiLevelType w:val="hybridMultilevel"/>
    <w:tmpl w:val="A2668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DD5753"/>
    <w:multiLevelType w:val="hybridMultilevel"/>
    <w:tmpl w:val="B730251A"/>
    <w:lvl w:ilvl="0" w:tplc="2AAEB1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1B627B"/>
    <w:multiLevelType w:val="hybridMultilevel"/>
    <w:tmpl w:val="933E5B76"/>
    <w:lvl w:ilvl="0" w:tplc="20025F66">
      <w:start w:val="1"/>
      <w:numFmt w:val="bullet"/>
      <w:lvlText w:val=""/>
      <w:lvlJc w:val="left"/>
      <w:pPr>
        <w:ind w:left="1216" w:hanging="360"/>
      </w:pPr>
      <w:rPr>
        <w:rFonts w:ascii="Symbol" w:hAnsi="Symbol" w:hint="default"/>
        <w:color w:val="auto"/>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D7CE8298"/>
    <w:lvl w:ilvl="0">
      <w:start w:val="1"/>
      <w:numFmt w:val="decimal"/>
      <w:pStyle w:val="ListParagraph"/>
      <w:lvlText w:val="%1."/>
      <w:lvlJc w:val="left"/>
      <w:pPr>
        <w:ind w:left="502" w:hanging="360"/>
      </w:pPr>
      <w:rPr>
        <w:rFonts w:ascii="Arial" w:hAnsi="Arial"/>
        <w:b w:val="0"/>
        <w:i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36"/>
  </w:num>
  <w:num w:numId="3">
    <w:abstractNumId w:val="26"/>
  </w:num>
  <w:num w:numId="4">
    <w:abstractNumId w:val="21"/>
  </w:num>
  <w:num w:numId="5">
    <w:abstractNumId w:val="32"/>
  </w:num>
  <w:num w:numId="6">
    <w:abstractNumId w:val="37"/>
  </w:num>
  <w:num w:numId="7">
    <w:abstractNumId w:val="24"/>
  </w:num>
  <w:num w:numId="8">
    <w:abstractNumId w:val="22"/>
  </w:num>
  <w:num w:numId="9">
    <w:abstractNumId w:val="14"/>
  </w:num>
  <w:num w:numId="10">
    <w:abstractNumId w:val="17"/>
  </w:num>
  <w:num w:numId="11">
    <w:abstractNumId w:val="29"/>
  </w:num>
  <w:num w:numId="12">
    <w:abstractNumId w:val="27"/>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4"/>
  </w:num>
  <w:num w:numId="20">
    <w:abstractNumId w:val="19"/>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3"/>
    <w:lvlOverride w:ilvl="0">
      <w:lvl w:ilvl="0">
        <w:start w:val="1"/>
        <w:numFmt w:val="decimal"/>
        <w:pStyle w:val="OBCCaseHeading"/>
        <w:lvlText w:val="%1."/>
        <w:lvlJc w:val="left"/>
        <w:pPr>
          <w:ind w:left="360" w:hanging="360"/>
        </w:pPr>
        <w:rPr>
          <w:rFonts w:hint="default"/>
        </w:rPr>
      </w:lvl>
    </w:lvlOverride>
    <w:lvlOverride w:ilvl="1">
      <w:lvl w:ilvl="1">
        <w:start w:val="1"/>
        <w:numFmt w:val="decimal"/>
        <w:pStyle w:val="OBCCaseSectionNumbered"/>
        <w:suff w:val="space"/>
        <w:lvlText w:val="%1.%2."/>
        <w:lvlJc w:val="left"/>
        <w:pPr>
          <w:ind w:left="0" w:firstLine="0"/>
        </w:pPr>
        <w:rPr>
          <w:rFonts w:hint="default"/>
        </w:rPr>
      </w:lvl>
    </w:lvlOverride>
    <w:lvlOverride w:ilvl="2">
      <w:lvl w:ilvl="2">
        <w:start w:val="1"/>
        <w:numFmt w:val="decimal"/>
        <w:pStyle w:val="OBCNumberedSection"/>
        <w:suff w:val="space"/>
        <w:lvlText w:val="%1.%2.%3."/>
        <w:lvlJc w:val="left"/>
        <w:pPr>
          <w:ind w:left="426" w:firstLine="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0"/>
  </w:num>
  <w:num w:numId="37">
    <w:abstractNumId w:val="33"/>
  </w:num>
  <w:num w:numId="38">
    <w:abstractNumId w:val="25"/>
  </w:num>
  <w:num w:numId="39">
    <w:abstractNumId w:val="28"/>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29"/>
    <w:rsid w:val="000117D4"/>
    <w:rsid w:val="000314D7"/>
    <w:rsid w:val="00032746"/>
    <w:rsid w:val="00045F8B"/>
    <w:rsid w:val="00046D2B"/>
    <w:rsid w:val="00056263"/>
    <w:rsid w:val="00064D8A"/>
    <w:rsid w:val="00064F82"/>
    <w:rsid w:val="00066510"/>
    <w:rsid w:val="00066B35"/>
    <w:rsid w:val="000712ED"/>
    <w:rsid w:val="00077523"/>
    <w:rsid w:val="000C089F"/>
    <w:rsid w:val="000C3928"/>
    <w:rsid w:val="000C5E8E"/>
    <w:rsid w:val="000F0DB5"/>
    <w:rsid w:val="000F4751"/>
    <w:rsid w:val="0010524C"/>
    <w:rsid w:val="00111FB1"/>
    <w:rsid w:val="00113418"/>
    <w:rsid w:val="00123F43"/>
    <w:rsid w:val="00135488"/>
    <w:rsid w:val="001356F1"/>
    <w:rsid w:val="00136994"/>
    <w:rsid w:val="0014128E"/>
    <w:rsid w:val="00151888"/>
    <w:rsid w:val="00170A2D"/>
    <w:rsid w:val="001808BC"/>
    <w:rsid w:val="00182B81"/>
    <w:rsid w:val="0018619D"/>
    <w:rsid w:val="001A011E"/>
    <w:rsid w:val="001A066A"/>
    <w:rsid w:val="001A13E6"/>
    <w:rsid w:val="001A5731"/>
    <w:rsid w:val="001B42C3"/>
    <w:rsid w:val="001C2942"/>
    <w:rsid w:val="001C5D5E"/>
    <w:rsid w:val="001D678D"/>
    <w:rsid w:val="001E03F8"/>
    <w:rsid w:val="001E1678"/>
    <w:rsid w:val="001E3376"/>
    <w:rsid w:val="001F5134"/>
    <w:rsid w:val="002069B3"/>
    <w:rsid w:val="002329CF"/>
    <w:rsid w:val="00232F5B"/>
    <w:rsid w:val="00247C29"/>
    <w:rsid w:val="00260467"/>
    <w:rsid w:val="00260DE8"/>
    <w:rsid w:val="00263EA3"/>
    <w:rsid w:val="00265BE3"/>
    <w:rsid w:val="00276415"/>
    <w:rsid w:val="00284F85"/>
    <w:rsid w:val="00290915"/>
    <w:rsid w:val="002A22E2"/>
    <w:rsid w:val="002C64F7"/>
    <w:rsid w:val="002D25FC"/>
    <w:rsid w:val="002F41F2"/>
    <w:rsid w:val="002F49AE"/>
    <w:rsid w:val="00301BF3"/>
    <w:rsid w:val="0030208D"/>
    <w:rsid w:val="00323418"/>
    <w:rsid w:val="003357BF"/>
    <w:rsid w:val="00340EA4"/>
    <w:rsid w:val="00364FAD"/>
    <w:rsid w:val="00366FAD"/>
    <w:rsid w:val="0036738F"/>
    <w:rsid w:val="0036759C"/>
    <w:rsid w:val="00367AE5"/>
    <w:rsid w:val="00367D71"/>
    <w:rsid w:val="00372D2C"/>
    <w:rsid w:val="0038150A"/>
    <w:rsid w:val="003B6E75"/>
    <w:rsid w:val="003B7DA1"/>
    <w:rsid w:val="003D0379"/>
    <w:rsid w:val="003D2574"/>
    <w:rsid w:val="003D4C59"/>
    <w:rsid w:val="003F4267"/>
    <w:rsid w:val="00404032"/>
    <w:rsid w:val="0040736F"/>
    <w:rsid w:val="00412C1F"/>
    <w:rsid w:val="004207F6"/>
    <w:rsid w:val="00421CB2"/>
    <w:rsid w:val="004268B9"/>
    <w:rsid w:val="00431C0D"/>
    <w:rsid w:val="00433B96"/>
    <w:rsid w:val="0043770B"/>
    <w:rsid w:val="004440F1"/>
    <w:rsid w:val="004456DD"/>
    <w:rsid w:val="00446CDF"/>
    <w:rsid w:val="004521B7"/>
    <w:rsid w:val="00462AB5"/>
    <w:rsid w:val="00465EAF"/>
    <w:rsid w:val="004738C5"/>
    <w:rsid w:val="004859FF"/>
    <w:rsid w:val="00491046"/>
    <w:rsid w:val="004969C4"/>
    <w:rsid w:val="004A2AC7"/>
    <w:rsid w:val="004A6D2F"/>
    <w:rsid w:val="004C2887"/>
    <w:rsid w:val="004D2626"/>
    <w:rsid w:val="004D6E26"/>
    <w:rsid w:val="004D77D3"/>
    <w:rsid w:val="004E2959"/>
    <w:rsid w:val="004F20EF"/>
    <w:rsid w:val="0050321C"/>
    <w:rsid w:val="00532D2D"/>
    <w:rsid w:val="0054712D"/>
    <w:rsid w:val="00547EF6"/>
    <w:rsid w:val="00555475"/>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2186"/>
    <w:rsid w:val="00614693"/>
    <w:rsid w:val="00623C2F"/>
    <w:rsid w:val="00633578"/>
    <w:rsid w:val="006365DD"/>
    <w:rsid w:val="00637068"/>
    <w:rsid w:val="00650811"/>
    <w:rsid w:val="00661D3E"/>
    <w:rsid w:val="00692627"/>
    <w:rsid w:val="006969E7"/>
    <w:rsid w:val="006A3643"/>
    <w:rsid w:val="006B24FB"/>
    <w:rsid w:val="006B7FB3"/>
    <w:rsid w:val="006C2A29"/>
    <w:rsid w:val="006C64CF"/>
    <w:rsid w:val="006D17B1"/>
    <w:rsid w:val="006D4752"/>
    <w:rsid w:val="006D708A"/>
    <w:rsid w:val="006E14C1"/>
    <w:rsid w:val="006E7EBF"/>
    <w:rsid w:val="006F0292"/>
    <w:rsid w:val="006F27FA"/>
    <w:rsid w:val="006F416B"/>
    <w:rsid w:val="006F519B"/>
    <w:rsid w:val="007058FB"/>
    <w:rsid w:val="00713675"/>
    <w:rsid w:val="00715823"/>
    <w:rsid w:val="00737B93"/>
    <w:rsid w:val="00745BF0"/>
    <w:rsid w:val="007615FE"/>
    <w:rsid w:val="0076655C"/>
    <w:rsid w:val="007742DC"/>
    <w:rsid w:val="00777FE8"/>
    <w:rsid w:val="00790436"/>
    <w:rsid w:val="00791437"/>
    <w:rsid w:val="007A39DC"/>
    <w:rsid w:val="007B0C2C"/>
    <w:rsid w:val="007B278E"/>
    <w:rsid w:val="007C5C23"/>
    <w:rsid w:val="007E2A26"/>
    <w:rsid w:val="007F2348"/>
    <w:rsid w:val="00803F07"/>
    <w:rsid w:val="0080749A"/>
    <w:rsid w:val="008144EB"/>
    <w:rsid w:val="00821FB8"/>
    <w:rsid w:val="00822ACD"/>
    <w:rsid w:val="00855C66"/>
    <w:rsid w:val="00871EE4"/>
    <w:rsid w:val="00884F79"/>
    <w:rsid w:val="008A0300"/>
    <w:rsid w:val="008B293F"/>
    <w:rsid w:val="008B6F29"/>
    <w:rsid w:val="008B7371"/>
    <w:rsid w:val="008D3DDB"/>
    <w:rsid w:val="008F4C88"/>
    <w:rsid w:val="008F573F"/>
    <w:rsid w:val="009034EC"/>
    <w:rsid w:val="00916781"/>
    <w:rsid w:val="0093067A"/>
    <w:rsid w:val="00941C60"/>
    <w:rsid w:val="009452A8"/>
    <w:rsid w:val="00966D42"/>
    <w:rsid w:val="00971689"/>
    <w:rsid w:val="00973E90"/>
    <w:rsid w:val="00975B07"/>
    <w:rsid w:val="00980B4A"/>
    <w:rsid w:val="009935D5"/>
    <w:rsid w:val="009E3D0A"/>
    <w:rsid w:val="009E51FC"/>
    <w:rsid w:val="009F1D28"/>
    <w:rsid w:val="009F5E9E"/>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169F9"/>
    <w:rsid w:val="00B500CA"/>
    <w:rsid w:val="00B86314"/>
    <w:rsid w:val="00BA1C2E"/>
    <w:rsid w:val="00BB6F1E"/>
    <w:rsid w:val="00BC200B"/>
    <w:rsid w:val="00BC4756"/>
    <w:rsid w:val="00BC69A4"/>
    <w:rsid w:val="00BE0680"/>
    <w:rsid w:val="00BE305F"/>
    <w:rsid w:val="00BE7BA3"/>
    <w:rsid w:val="00BF5682"/>
    <w:rsid w:val="00BF5C73"/>
    <w:rsid w:val="00BF7B09"/>
    <w:rsid w:val="00C159FD"/>
    <w:rsid w:val="00C20A95"/>
    <w:rsid w:val="00C2692F"/>
    <w:rsid w:val="00C27AEE"/>
    <w:rsid w:val="00C3207C"/>
    <w:rsid w:val="00C400E1"/>
    <w:rsid w:val="00C41187"/>
    <w:rsid w:val="00C63C31"/>
    <w:rsid w:val="00C7286C"/>
    <w:rsid w:val="00C757A0"/>
    <w:rsid w:val="00C760DE"/>
    <w:rsid w:val="00C82630"/>
    <w:rsid w:val="00C85B4E"/>
    <w:rsid w:val="00C907F7"/>
    <w:rsid w:val="00CA139F"/>
    <w:rsid w:val="00CA2103"/>
    <w:rsid w:val="00CB6B99"/>
    <w:rsid w:val="00CE4C87"/>
    <w:rsid w:val="00CE544A"/>
    <w:rsid w:val="00D11E1C"/>
    <w:rsid w:val="00D160B0"/>
    <w:rsid w:val="00D17F94"/>
    <w:rsid w:val="00D223FC"/>
    <w:rsid w:val="00D26D1E"/>
    <w:rsid w:val="00D474CF"/>
    <w:rsid w:val="00D51864"/>
    <w:rsid w:val="00D5547E"/>
    <w:rsid w:val="00D84410"/>
    <w:rsid w:val="00D869A1"/>
    <w:rsid w:val="00D961AD"/>
    <w:rsid w:val="00DA413F"/>
    <w:rsid w:val="00DA4584"/>
    <w:rsid w:val="00DA614B"/>
    <w:rsid w:val="00DC3060"/>
    <w:rsid w:val="00DD2EB1"/>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E6072"/>
    <w:rsid w:val="00F05ECA"/>
    <w:rsid w:val="00F31657"/>
    <w:rsid w:val="00F3566E"/>
    <w:rsid w:val="00F375FB"/>
    <w:rsid w:val="00F41AC1"/>
    <w:rsid w:val="00F4367A"/>
    <w:rsid w:val="00F445B1"/>
    <w:rsid w:val="00F45CD4"/>
    <w:rsid w:val="00F665E3"/>
    <w:rsid w:val="00F66DCA"/>
    <w:rsid w:val="00F67869"/>
    <w:rsid w:val="00F74F53"/>
    <w:rsid w:val="00F7606D"/>
    <w:rsid w:val="00F81670"/>
    <w:rsid w:val="00F82024"/>
    <w:rsid w:val="00F922B2"/>
    <w:rsid w:val="00F95BC9"/>
    <w:rsid w:val="00F95F26"/>
    <w:rsid w:val="00F96CE1"/>
    <w:rsid w:val="00FA624C"/>
    <w:rsid w:val="00FC0221"/>
    <w:rsid w:val="00FD0FAC"/>
    <w:rsid w:val="00FD1DFA"/>
    <w:rsid w:val="00FD4966"/>
    <w:rsid w:val="00FE57DC"/>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OBCText">
    <w:name w:val="OBC Text"/>
    <w:basedOn w:val="Normal"/>
    <w:link w:val="OBCTextChar"/>
    <w:autoRedefine/>
    <w:qFormat/>
    <w:rsid w:val="0043770B"/>
    <w:pPr>
      <w:spacing w:line="259" w:lineRule="auto"/>
    </w:pPr>
    <w:rPr>
      <w:rFonts w:eastAsiaTheme="minorHAnsi" w:cs="Arial"/>
      <w:color w:val="auto"/>
      <w:sz w:val="22"/>
      <w:szCs w:val="22"/>
      <w:lang w:eastAsia="en-US"/>
    </w:rPr>
  </w:style>
  <w:style w:type="character" w:customStyle="1" w:styleId="OBCTextChar">
    <w:name w:val="OBC Text Char"/>
    <w:basedOn w:val="DefaultParagraphFont"/>
    <w:link w:val="OBCText"/>
    <w:rsid w:val="0043770B"/>
    <w:rPr>
      <w:rFonts w:eastAsiaTheme="minorHAnsi" w:cs="Arial"/>
      <w:sz w:val="22"/>
      <w:szCs w:val="22"/>
      <w:lang w:eastAsia="en-US"/>
    </w:rPr>
  </w:style>
  <w:style w:type="paragraph" w:customStyle="1" w:styleId="OBCCaseHeading">
    <w:name w:val="OBC Case Heading"/>
    <w:basedOn w:val="Normal"/>
    <w:qFormat/>
    <w:rsid w:val="0043770B"/>
    <w:pPr>
      <w:keepNext/>
      <w:numPr>
        <w:numId w:val="34"/>
      </w:numPr>
      <w:spacing w:after="0"/>
      <w:outlineLvl w:val="1"/>
    </w:pPr>
    <w:rPr>
      <w:rFonts w:cs="Arial"/>
      <w:b/>
      <w:bCs/>
      <w:color w:val="auto"/>
      <w:sz w:val="32"/>
      <w:szCs w:val="32"/>
      <w:lang w:eastAsia="en-US"/>
    </w:rPr>
  </w:style>
  <w:style w:type="paragraph" w:customStyle="1" w:styleId="OBCCaseSectionNumbered">
    <w:name w:val="OBC Case Section (Numbered)"/>
    <w:basedOn w:val="Normal"/>
    <w:autoRedefine/>
    <w:qFormat/>
    <w:rsid w:val="0043770B"/>
    <w:pPr>
      <w:keepNext/>
      <w:numPr>
        <w:ilvl w:val="1"/>
        <w:numId w:val="34"/>
      </w:numPr>
      <w:spacing w:before="360" w:after="240"/>
      <w:outlineLvl w:val="1"/>
    </w:pPr>
    <w:rPr>
      <w:rFonts w:cs="Arial"/>
      <w:b/>
      <w:bCs/>
      <w:color w:val="auto"/>
      <w:lang w:eastAsia="en-US"/>
    </w:rPr>
  </w:style>
  <w:style w:type="paragraph" w:customStyle="1" w:styleId="OBCNumberedSection">
    <w:name w:val="OBC Numbered Section"/>
    <w:basedOn w:val="Normal"/>
    <w:link w:val="OBCNumberedSectionChar"/>
    <w:autoRedefine/>
    <w:qFormat/>
    <w:rsid w:val="0043770B"/>
    <w:pPr>
      <w:keepNext/>
      <w:keepLines/>
      <w:numPr>
        <w:ilvl w:val="2"/>
        <w:numId w:val="34"/>
      </w:numPr>
      <w:spacing w:before="240" w:line="259" w:lineRule="auto"/>
      <w:outlineLvl w:val="3"/>
    </w:pPr>
    <w:rPr>
      <w:rFonts w:eastAsiaTheme="majorEastAsia" w:cs="Arial"/>
      <w:bCs/>
      <w:i/>
      <w:iCs/>
      <w:color w:val="000000" w:themeColor="text1"/>
      <w:lang w:eastAsia="en-US"/>
    </w:rPr>
  </w:style>
  <w:style w:type="character" w:customStyle="1" w:styleId="OBCNumberedSectionChar">
    <w:name w:val="OBC Numbered Section Char"/>
    <w:basedOn w:val="DefaultParagraphFont"/>
    <w:link w:val="OBCNumberedSection"/>
    <w:rsid w:val="0043770B"/>
    <w:rPr>
      <w:rFonts w:eastAsiaTheme="majorEastAsia" w:cs="Arial"/>
      <w:bCs/>
      <w:i/>
      <w:iCs/>
      <w:color w:val="000000" w:themeColor="text1"/>
      <w:sz w:val="24"/>
      <w:szCs w:val="24"/>
      <w:lang w:eastAsia="en-US"/>
    </w:rPr>
  </w:style>
  <w:style w:type="paragraph" w:customStyle="1" w:styleId="OBCbullets">
    <w:name w:val="OBC bullets"/>
    <w:basedOn w:val="OBCText"/>
    <w:link w:val="OBCbulletsChar"/>
    <w:autoRedefine/>
    <w:qFormat/>
    <w:rsid w:val="0043770B"/>
    <w:pPr>
      <w:numPr>
        <w:numId w:val="36"/>
      </w:numPr>
    </w:pPr>
  </w:style>
  <w:style w:type="character" w:customStyle="1" w:styleId="OBCbulletsChar">
    <w:name w:val="OBC bullets Char"/>
    <w:basedOn w:val="OBCTextChar"/>
    <w:link w:val="OBCbullets"/>
    <w:rsid w:val="0043770B"/>
    <w:rPr>
      <w:rFonts w:eastAsiaTheme="minorHAnsi" w:cs="Arial"/>
      <w:sz w:val="22"/>
      <w:szCs w:val="22"/>
      <w:lang w:eastAsia="en-US"/>
    </w:rPr>
  </w:style>
  <w:style w:type="character" w:customStyle="1" w:styleId="apple-converted-space">
    <w:name w:val="apple-converted-space"/>
    <w:basedOn w:val="DefaultParagraphFont"/>
    <w:rsid w:val="0063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OBCText">
    <w:name w:val="OBC Text"/>
    <w:basedOn w:val="Normal"/>
    <w:link w:val="OBCTextChar"/>
    <w:autoRedefine/>
    <w:qFormat/>
    <w:rsid w:val="0043770B"/>
    <w:pPr>
      <w:spacing w:line="259" w:lineRule="auto"/>
    </w:pPr>
    <w:rPr>
      <w:rFonts w:eastAsiaTheme="minorHAnsi" w:cs="Arial"/>
      <w:color w:val="auto"/>
      <w:sz w:val="22"/>
      <w:szCs w:val="22"/>
      <w:lang w:eastAsia="en-US"/>
    </w:rPr>
  </w:style>
  <w:style w:type="character" w:customStyle="1" w:styleId="OBCTextChar">
    <w:name w:val="OBC Text Char"/>
    <w:basedOn w:val="DefaultParagraphFont"/>
    <w:link w:val="OBCText"/>
    <w:rsid w:val="0043770B"/>
    <w:rPr>
      <w:rFonts w:eastAsiaTheme="minorHAnsi" w:cs="Arial"/>
      <w:sz w:val="22"/>
      <w:szCs w:val="22"/>
      <w:lang w:eastAsia="en-US"/>
    </w:rPr>
  </w:style>
  <w:style w:type="paragraph" w:customStyle="1" w:styleId="OBCCaseHeading">
    <w:name w:val="OBC Case Heading"/>
    <w:basedOn w:val="Normal"/>
    <w:qFormat/>
    <w:rsid w:val="0043770B"/>
    <w:pPr>
      <w:keepNext/>
      <w:numPr>
        <w:numId w:val="34"/>
      </w:numPr>
      <w:spacing w:after="0"/>
      <w:outlineLvl w:val="1"/>
    </w:pPr>
    <w:rPr>
      <w:rFonts w:cs="Arial"/>
      <w:b/>
      <w:bCs/>
      <w:color w:val="auto"/>
      <w:sz w:val="32"/>
      <w:szCs w:val="32"/>
      <w:lang w:eastAsia="en-US"/>
    </w:rPr>
  </w:style>
  <w:style w:type="paragraph" w:customStyle="1" w:styleId="OBCCaseSectionNumbered">
    <w:name w:val="OBC Case Section (Numbered)"/>
    <w:basedOn w:val="Normal"/>
    <w:autoRedefine/>
    <w:qFormat/>
    <w:rsid w:val="0043770B"/>
    <w:pPr>
      <w:keepNext/>
      <w:numPr>
        <w:ilvl w:val="1"/>
        <w:numId w:val="34"/>
      </w:numPr>
      <w:spacing w:before="360" w:after="240"/>
      <w:outlineLvl w:val="1"/>
    </w:pPr>
    <w:rPr>
      <w:rFonts w:cs="Arial"/>
      <w:b/>
      <w:bCs/>
      <w:color w:val="auto"/>
      <w:lang w:eastAsia="en-US"/>
    </w:rPr>
  </w:style>
  <w:style w:type="paragraph" w:customStyle="1" w:styleId="OBCNumberedSection">
    <w:name w:val="OBC Numbered Section"/>
    <w:basedOn w:val="Normal"/>
    <w:link w:val="OBCNumberedSectionChar"/>
    <w:autoRedefine/>
    <w:qFormat/>
    <w:rsid w:val="0043770B"/>
    <w:pPr>
      <w:keepNext/>
      <w:keepLines/>
      <w:numPr>
        <w:ilvl w:val="2"/>
        <w:numId w:val="34"/>
      </w:numPr>
      <w:spacing w:before="240" w:line="259" w:lineRule="auto"/>
      <w:outlineLvl w:val="3"/>
    </w:pPr>
    <w:rPr>
      <w:rFonts w:eastAsiaTheme="majorEastAsia" w:cs="Arial"/>
      <w:bCs/>
      <w:i/>
      <w:iCs/>
      <w:color w:val="000000" w:themeColor="text1"/>
      <w:lang w:eastAsia="en-US"/>
    </w:rPr>
  </w:style>
  <w:style w:type="character" w:customStyle="1" w:styleId="OBCNumberedSectionChar">
    <w:name w:val="OBC Numbered Section Char"/>
    <w:basedOn w:val="DefaultParagraphFont"/>
    <w:link w:val="OBCNumberedSection"/>
    <w:rsid w:val="0043770B"/>
    <w:rPr>
      <w:rFonts w:eastAsiaTheme="majorEastAsia" w:cs="Arial"/>
      <w:bCs/>
      <w:i/>
      <w:iCs/>
      <w:color w:val="000000" w:themeColor="text1"/>
      <w:sz w:val="24"/>
      <w:szCs w:val="24"/>
      <w:lang w:eastAsia="en-US"/>
    </w:rPr>
  </w:style>
  <w:style w:type="paragraph" w:customStyle="1" w:styleId="OBCbullets">
    <w:name w:val="OBC bullets"/>
    <w:basedOn w:val="OBCText"/>
    <w:link w:val="OBCbulletsChar"/>
    <w:autoRedefine/>
    <w:qFormat/>
    <w:rsid w:val="0043770B"/>
    <w:pPr>
      <w:numPr>
        <w:numId w:val="36"/>
      </w:numPr>
    </w:pPr>
  </w:style>
  <w:style w:type="character" w:customStyle="1" w:styleId="OBCbulletsChar">
    <w:name w:val="OBC bullets Char"/>
    <w:basedOn w:val="OBCTextChar"/>
    <w:link w:val="OBCbullets"/>
    <w:rsid w:val="0043770B"/>
    <w:rPr>
      <w:rFonts w:eastAsiaTheme="minorHAnsi" w:cs="Arial"/>
      <w:sz w:val="22"/>
      <w:szCs w:val="22"/>
      <w:lang w:eastAsia="en-US"/>
    </w:rPr>
  </w:style>
  <w:style w:type="character" w:customStyle="1" w:styleId="apple-converted-space">
    <w:name w:val="apple-converted-space"/>
    <w:basedOn w:val="DefaultParagraphFont"/>
    <w:rsid w:val="0063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EEF3-78AB-4826-8368-84977C9A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E485BB6C</Template>
  <TotalTime>14</TotalTime>
  <Pages>4</Pages>
  <Words>1412</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sclaridge</cp:lastModifiedBy>
  <cp:revision>6</cp:revision>
  <cp:lastPrinted>2015-07-03T13:50:00Z</cp:lastPrinted>
  <dcterms:created xsi:type="dcterms:W3CDTF">2017-03-06T10:55:00Z</dcterms:created>
  <dcterms:modified xsi:type="dcterms:W3CDTF">2017-03-29T15:12:00Z</dcterms:modified>
</cp:coreProperties>
</file>

<file path=docProps/custom.xml><?xml version="1.0" encoding="utf-8"?>
<op:Properties xmlns:op="http://schemas.openxmlformats.org/officeDocument/2006/custom-properties"/>
</file>